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11340" w:right="0" w:hanging="992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ПРИЛОЖЕНИЕ № 1</w:t>
      </w:r>
    </w:p>
    <w:p>
      <w:pPr>
        <w:pStyle w:val="Normal"/>
        <w:spacing w:lineRule="auto" w:line="276" w:before="0" w:after="0"/>
        <w:ind w:left="11340" w:right="0" w:hanging="992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К приказу Архивного управления </w:t>
      </w:r>
    </w:p>
    <w:p>
      <w:pPr>
        <w:pStyle w:val="Normal"/>
        <w:spacing w:lineRule="auto" w:line="276" w:before="0" w:after="0"/>
        <w:ind w:left="11340" w:right="0" w:hanging="992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Правительства Чеченской Республики</w:t>
      </w:r>
    </w:p>
    <w:p>
      <w:pPr>
        <w:pStyle w:val="Normal"/>
        <w:spacing w:lineRule="auto" w:line="276" w:before="0" w:after="0"/>
        <w:ind w:left="10348" w:right="0" w:hanging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от 27.11.2019 г. № 58 </w:t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Показатели результативности и эффективности деятельности Архивного управления Правительства Чеченской Республики при осуществлении регионального государственного контроля в сфере архивного дела </w:t>
      </w:r>
      <w:r>
        <w:rPr>
          <w:rStyle w:val="211pt"/>
          <w:rFonts w:eastAsia="Calibri" w:cs="Times New Roman"/>
          <w:bCs w:val="false"/>
          <w:sz w:val="24"/>
          <w:szCs w:val="24"/>
          <w:lang w:bidi="ar-SA"/>
        </w:rPr>
        <w:t>(в ред. Приказа Управления от 18.03.2020 № 22)</w:t>
      </w:r>
    </w:p>
    <w:tbl>
      <w:tblPr>
        <w:tblW w:w="14784" w:type="dxa"/>
        <w:jc w:val="left"/>
        <w:tblInd w:w="-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012"/>
        <w:gridCol w:w="216"/>
        <w:gridCol w:w="1275"/>
        <w:gridCol w:w="462"/>
        <w:gridCol w:w="1632"/>
        <w:gridCol w:w="257"/>
        <w:gridCol w:w="776"/>
        <w:gridCol w:w="439"/>
        <w:gridCol w:w="1294"/>
        <w:gridCol w:w="454"/>
        <w:gridCol w:w="1301"/>
        <w:gridCol w:w="1806"/>
        <w:gridCol w:w="1668"/>
      </w:tblGrid>
      <w:tr>
        <w:trPr/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Наименование органа исполнительной власти: Архивное управление Правительства Чеченской Республики</w:t>
            </w:r>
          </w:p>
        </w:tc>
      </w:tr>
      <w:tr>
        <w:trPr/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Наименование вида контрольно-надзорной деятельности: региональный государственный контроль в сфере архивного дела</w:t>
            </w:r>
          </w:p>
        </w:tc>
      </w:tr>
      <w:tr>
        <w:trPr/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деятельность: несоблюдение юридическими лицами, индивидуальными предпринимателями требований, установленных Федеральным законом от 22.10.2004 г. № 125-ФЗ «Об архивном деле в Российской Федерации» и иными нормативными правовыми актами РФ и Чеченской Республики в сфере архивного дела</w:t>
            </w:r>
          </w:p>
        </w:tc>
      </w:tr>
      <w:tr>
        <w:trPr/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86" w:leader="none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Цели контрольно-надзорной деятельности: обеспечение соблюдения юридическими лицами, индивидуальными предпринимателями обязательных требований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Номер (индекс)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показателя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Формула расчета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Комментарии (интерпретация значений)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Базовое значение показателя (текущее)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Международные сопоставления показателей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>
        <w:trPr/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Ключевые показатели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А.</w:t>
            </w:r>
          </w:p>
        </w:tc>
        <w:tc>
          <w:tcPr>
            <w:tcW w:w="13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А.3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Количество документов Архивного фонда РФ и других архивных документов, которым причинен или может быть причинен вред в результате несоблюдения обязательных требований законодательства об архивном деле в РФ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0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Ежегодный план проведения плановых проверок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47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Индикативные показатели</w:t>
            </w:r>
          </w:p>
        </w:tc>
      </w:tr>
      <w:tr>
        <w:trPr>
          <w:trHeight w:val="1265" w:hRule="atLeast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fill="FFFFFF"/>
              <w:tabs>
                <w:tab w:val="clear" w:pos="708"/>
              </w:tabs>
              <w:bidi w:val="0"/>
              <w:spacing w:lineRule="exact" w:line="264"/>
              <w:ind w:left="0" w:right="0" w:hanging="0"/>
              <w:jc w:val="center"/>
              <w:rPr>
                <w:b w:val="false"/>
                <w:b w:val="false"/>
              </w:rPr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Б.</w:t>
            </w:r>
          </w:p>
        </w:tc>
        <w:tc>
          <w:tcPr>
            <w:tcW w:w="13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widowControl w:val="false"/>
              <w:shd w:fill="FFFFFF"/>
              <w:tabs>
                <w:tab w:val="clear" w:pos="708"/>
              </w:tabs>
              <w:bidi w:val="0"/>
              <w:spacing w:lineRule="exact" w:line="264"/>
              <w:ind w:left="0" w:right="0" w:hanging="0"/>
              <w:rPr>
                <w:b w:val="false"/>
                <w:b w:val="false"/>
              </w:rPr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контрольных мероприятий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Б.1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Эффективность контрольно-надзорной деятельности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190625" cy="42862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ascii="Times New Roman" w:hAnsi="Times New Roman"/>
                <w:b w:val="false"/>
                <w:bCs w:val="false"/>
                <w:color w:val="2D2D2D"/>
                <w:sz w:val="24"/>
                <w:szCs w:val="24"/>
              </w:rPr>
              <w:t> </w:t>
            </w: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разница между причиненным ущербом в предшествующем периоде (Т-1) и причиненным ущербом в текущем периоде (Т) (млн.руб.);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 </w:t>
            </w: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разница между расходами на исполнение полномочий в предшествующем периоде (Т-1) и расходами на исполнение полномочий в текущем периоде (Т) (млн.руб.);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 </w:t>
            </w: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разница между издержками хозяйствующих субъектов в предшествующем периоде (Т-1) и издержками хозяйствующих субъектов в текущем периоде (Т) (млн.руб.);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 </w:t>
            </w: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причиненный ущерб в предшествующем периоде (Т-1) (млн.руб.);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 </w:t>
            </w: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расходы на исполнение полномочий в предшествующем периоде (Т-1) (млн.руб.);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 </w:t>
            </w: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- издержки хозяйствующих субъектов в предшествующем периоде (Т-1) (млн.руб.).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</w:t>
            </w:r>
          </w:p>
        </w:tc>
        <w:tc>
          <w:tcPr>
            <w:tcW w:w="13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widowControl w:val="false"/>
              <w:shd w:fill="FFFFFF"/>
              <w:tabs>
                <w:tab w:val="clear" w:pos="708"/>
              </w:tabs>
              <w:bidi w:val="0"/>
              <w:spacing w:lineRule="exact" w:line="264"/>
              <w:ind w:left="0" w:right="0" w:hanging="0"/>
              <w:rPr>
                <w:b w:val="false"/>
                <w:b w:val="false"/>
              </w:rPr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В.2.</w:t>
            </w:r>
          </w:p>
        </w:tc>
        <w:tc>
          <w:tcPr>
            <w:tcW w:w="13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21"/>
              <w:widowControl w:val="false"/>
              <w:shd w:fill="FFFFFF"/>
              <w:tabs>
                <w:tab w:val="clear" w:pos="708"/>
              </w:tabs>
              <w:bidi w:val="0"/>
              <w:spacing w:lineRule="exact" w:line="264"/>
              <w:ind w:left="0" w:right="0" w:hanging="0"/>
              <w:jc w:val="left"/>
              <w:rPr>
                <w:b w:val="false"/>
                <w:b w:val="false"/>
              </w:rPr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В.2.5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доля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С / По х 100%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2D2D2D"/>
                <w:sz w:val="24"/>
                <w:szCs w:val="24"/>
              </w:rPr>
              <w:t>показатель устанавливается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100%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100%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Данные результатов проверок, проведенных в рамках государственного  контроля в отчетном периоде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В.2.6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Доля субъектов, допустивших повторные нарушения, ставшие фактором причинения вреда, представляющие непосредственную угрозу причинения вреда или являющиеся грубыми нарушениями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2D2D2D"/>
                <w:sz w:val="24"/>
                <w:szCs w:val="24"/>
              </w:rPr>
              <w:t>группы показателей устанавливаются по категориям риска для органов, применяющих риск-ориентированный подход при осуществлении государственного контроля. Группы показателей устанавливаются в процентах от общего числа ранее проверенных субъектов, в том числе в отношении категорий риска (классов опасности)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Данные результатов проверок, проведенных в рамках государственного  контроля в отчетном периоде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both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В.2.7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Доля заявлений (обращений) с указанием фактов нарушений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center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В.3</w:t>
            </w:r>
          </w:p>
        </w:tc>
        <w:tc>
          <w:tcPr>
            <w:tcW w:w="13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Индикативные показатели, характеризующие параметры проведенных мероприятий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В.3.1</w:t>
            </w:r>
          </w:p>
        </w:tc>
        <w:tc>
          <w:tcPr>
            <w:tcW w:w="13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 xml:space="preserve">Проверки 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В.3.1.1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Общее количество проверок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textAlignment w:val="baseline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общий суммарный показатель плановых и внеплановых проверок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данные Управления о проведенных контрольных мероприятиях и их результатах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В.3.1.18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Доля проверок, на результаты которых поданы жалобы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textAlignment w:val="baseline"/>
              <w:rPr/>
            </w:pPr>
            <w:r>
              <w:rPr>
                <w:rFonts w:ascii="Times New Roman" w:hAnsi="Times New Roman"/>
                <w:b w:val="false"/>
                <w:bCs w:val="false"/>
                <w:color w:val="2D2D2D"/>
                <w:sz w:val="24"/>
                <w:szCs w:val="24"/>
              </w:rPr>
              <w:t>показатель устанавливается в процентах от общего числа проведенных проверок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Данные результатов проверок, проведенных в рамках государственного  контроля в отчетном периоде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 3.1.24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Доля проверок, результаты которых признаны недействительными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2D2D2D"/>
                <w:sz w:val="24"/>
                <w:szCs w:val="24"/>
              </w:rPr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Данные результатов проверок, проведенных в рамках государственного  контроля в отчетном периоде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В.3.1.29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2D2D2D"/>
                <w:sz w:val="24"/>
                <w:szCs w:val="24"/>
              </w:rPr>
              <w:t>показатели устанавливаются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tLeast" w:line="285" w:before="0" w:after="0"/>
              <w:ind w:left="0" w:right="0" w:hanging="0"/>
              <w:jc w:val="center"/>
              <w:textAlignment w:val="baseline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В.3.8</w:t>
            </w:r>
          </w:p>
        </w:tc>
        <w:tc>
          <w:tcPr>
            <w:tcW w:w="135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>
        <w:trPr/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В.3.8.1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Style w:val="211pt"/>
                <w:rFonts w:eastAsia="Times New Roman" w:ascii="Times New Roman" w:hAnsi="Times New Roman"/>
                <w:bCs w:val="false"/>
                <w:color w:val="000000"/>
                <w:spacing w:val="0"/>
                <w:w w:val="100"/>
                <w:sz w:val="24"/>
                <w:szCs w:val="24"/>
                <w:u w:val="none"/>
              </w:rPr>
              <w:t>количество проведенных профилактических мероприятий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color w:val="2D2D2D"/>
                <w:sz w:val="24"/>
                <w:szCs w:val="24"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gutter="0" w:header="0" w:top="705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2">
    <w:name w:val="Основной текст (2)_"/>
    <w:qFormat/>
    <w:rPr>
      <w:rFonts w:ascii="Times New Roman" w:hAnsi="Times New Roman"/>
      <w:b/>
      <w:shd w:fill="FFFFFF" w:val="clear"/>
    </w:rPr>
  </w:style>
  <w:style w:type="character" w:styleId="211pt">
    <w:name w:val="Основной текст (2) + 11 pt"/>
    <w:qFormat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>
      <w:spacing w:before="0" w:after="140"/>
    </w:pPr>
    <w:rPr>
      <w:rFonts w:cs="Droid Sans Devanagari"/>
    </w:rPr>
  </w:style>
  <w:style w:type="paragraph" w:styleId="Style18">
    <w:name w:val="Caption"/>
    <w:basedOn w:val="Normal"/>
    <w:qFormat/>
    <w:pPr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/>
    <w:rPr>
      <w:rFonts w:cs="Droid Sans Devanagari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Calibri" w:hAnsi="Calibri" w:eastAsia="Calibri" w:cs="Times New Roman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NormalTable"/>
    <w:qFormat/>
    <w:pPr>
      <w:spacing w:lineRule="exact" w:line="240" w:before="0" w:after="0"/>
    </w:pPr>
    <w:rPr>
      <w:sz w:val="20"/>
      <w:szCs w:val="20"/>
    </w:rPr>
  </w:style>
  <w:style w:type="paragraph" w:styleId="Headertext">
    <w:name w:val="headertext"/>
    <w:basedOn w:val="Normal"/>
    <w:qFormat/>
    <w:pPr>
      <w:spacing w:lineRule="exact" w:line="240" w:beforeAutospacing="1" w:afterAutospacing="1"/>
    </w:pPr>
    <w:rPr>
      <w:sz w:val="24"/>
      <w:szCs w:val="24"/>
    </w:rPr>
  </w:style>
  <w:style w:type="paragraph" w:styleId="Formattext">
    <w:name w:val="formattext"/>
    <w:basedOn w:val="Normal"/>
    <w:qFormat/>
    <w:pPr>
      <w:spacing w:lineRule="exact" w:line="240" w:beforeAutospacing="1" w:afterAutospacing="1"/>
    </w:pPr>
    <w:rPr>
      <w:sz w:val="24"/>
      <w:szCs w:val="24"/>
    </w:rPr>
  </w:style>
  <w:style w:type="paragraph" w:styleId="21">
    <w:name w:val="Основной текст (2)"/>
    <w:basedOn w:val="Normal"/>
    <w:qFormat/>
    <w:pPr>
      <w:widowControl w:val="false"/>
      <w:shd w:fill="FFFFFF"/>
      <w:spacing w:lineRule="exact" w:line="264" w:before="0" w:after="0"/>
      <w:jc w:val="both"/>
    </w:pPr>
    <w:rPr>
      <w:b/>
      <w:sz w:val="20"/>
      <w:szCs w:val="20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  <Pages>7</Pages>
  <Words>695</Words>
  <Characters>5311</Characters>
  <CharactersWithSpaces>5927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2020-03-19T17:39:00Z</dcterms:created>
  <dc:creator>Gabazov</dc:creator>
  <dc:description/>
  <dc:language>ru-RU</dc:language>
  <cp:lastModifiedBy/>
  <dcterms:modified xsi:type="dcterms:W3CDTF">2022-04-21T10:45:00Z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URM</vt:lpwstr>
  </property>
</Properties>
</file>