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80" w:rsidRPr="000C58E4" w:rsidRDefault="00092C80" w:rsidP="00092C80">
      <w:pPr>
        <w:pStyle w:val="ConsPlusNormal"/>
        <w:jc w:val="center"/>
        <w:rPr>
          <w:noProof/>
          <w:spacing w:val="26"/>
          <w:sz w:val="28"/>
        </w:rPr>
      </w:pPr>
    </w:p>
    <w:p w:rsidR="000C58E4" w:rsidRPr="000C58E4" w:rsidRDefault="000C58E4" w:rsidP="00092C80">
      <w:pPr>
        <w:pStyle w:val="ConsPlusNormal"/>
        <w:jc w:val="center"/>
        <w:rPr>
          <w:noProof/>
          <w:spacing w:val="26"/>
          <w:sz w:val="28"/>
        </w:rPr>
      </w:pPr>
    </w:p>
    <w:p w:rsidR="000C58E4" w:rsidRPr="000C58E4" w:rsidRDefault="000C58E4" w:rsidP="00092C80">
      <w:pPr>
        <w:pStyle w:val="ConsPlusNormal"/>
        <w:jc w:val="center"/>
        <w:rPr>
          <w:rStyle w:val="a6"/>
          <w:b w:val="0"/>
          <w:szCs w:val="28"/>
        </w:rPr>
      </w:pPr>
    </w:p>
    <w:p w:rsidR="00092C80" w:rsidRPr="000C58E4" w:rsidRDefault="00092C80" w:rsidP="00092C80">
      <w:pPr>
        <w:pStyle w:val="ConsPlusNormal"/>
        <w:jc w:val="center"/>
        <w:rPr>
          <w:rStyle w:val="a6"/>
          <w:b w:val="0"/>
          <w:szCs w:val="28"/>
        </w:rPr>
      </w:pPr>
    </w:p>
    <w:p w:rsidR="00092C80" w:rsidRPr="000C58E4" w:rsidRDefault="00092C80" w:rsidP="00092C80">
      <w:pPr>
        <w:spacing w:after="0" w:line="240" w:lineRule="auto"/>
        <w:ind w:right="-108"/>
        <w:jc w:val="center"/>
        <w:rPr>
          <w:lang w:val="ru-RU"/>
        </w:rPr>
      </w:pPr>
      <w:r w:rsidRPr="000C58E4">
        <w:rPr>
          <w:lang w:val="ru-RU"/>
        </w:rPr>
        <w:t>АРХИВНОЕ УПРАВЛЕНИЕ ПРАВИТЕЛЬСТВА ЧЕЧЕНСКОЙ РЕСПУБЛИКИ</w:t>
      </w:r>
    </w:p>
    <w:p w:rsidR="00092C80" w:rsidRPr="000C58E4" w:rsidRDefault="00092C80" w:rsidP="00092C80">
      <w:pPr>
        <w:spacing w:after="0" w:line="240" w:lineRule="auto"/>
        <w:ind w:right="-108"/>
        <w:jc w:val="center"/>
        <w:rPr>
          <w:lang w:val="ru-RU"/>
        </w:rPr>
      </w:pPr>
      <w:r w:rsidRPr="000C58E4">
        <w:rPr>
          <w:lang w:val="ru-RU"/>
        </w:rPr>
        <w:t>(Архивное управление Правительства ЧР)</w:t>
      </w:r>
    </w:p>
    <w:p w:rsidR="00092C80" w:rsidRPr="000C58E4" w:rsidRDefault="00092C80" w:rsidP="00092C80">
      <w:pPr>
        <w:spacing w:after="0"/>
        <w:ind w:right="-108"/>
        <w:jc w:val="center"/>
        <w:rPr>
          <w:bCs/>
          <w:lang w:val="ru-RU"/>
        </w:rPr>
      </w:pPr>
    </w:p>
    <w:p w:rsidR="00092C80" w:rsidRPr="000C58E4" w:rsidRDefault="00092C80" w:rsidP="00092C80">
      <w:pPr>
        <w:spacing w:after="0"/>
        <w:ind w:right="-108"/>
        <w:jc w:val="center"/>
        <w:rPr>
          <w:bCs/>
          <w:lang w:val="ru-RU"/>
        </w:rPr>
      </w:pPr>
      <w:r w:rsidRPr="000C58E4">
        <w:rPr>
          <w:bCs/>
          <w:lang w:val="ru-RU"/>
        </w:rPr>
        <w:t>НОХЧИЙН РЕСПУБЛИКИН ПРАВИТЕЛЬСТВОН АРХИВИЙН УРХАЛЛА</w:t>
      </w:r>
    </w:p>
    <w:p w:rsidR="00092C80" w:rsidRPr="000C58E4" w:rsidRDefault="00092C80" w:rsidP="00092C80">
      <w:pPr>
        <w:ind w:right="-108"/>
        <w:jc w:val="center"/>
        <w:rPr>
          <w:bCs/>
          <w:lang w:val="ru-RU"/>
        </w:rPr>
      </w:pPr>
      <w:r w:rsidRPr="000C58E4">
        <w:rPr>
          <w:bCs/>
          <w:lang w:val="ru-RU"/>
        </w:rPr>
        <w:t>(</w:t>
      </w:r>
      <w:proofErr w:type="spellStart"/>
      <w:r w:rsidRPr="000C58E4">
        <w:rPr>
          <w:bCs/>
          <w:lang w:val="ru-RU"/>
        </w:rPr>
        <w:t>НР</w:t>
      </w:r>
      <w:proofErr w:type="spellEnd"/>
      <w:r w:rsidRPr="000C58E4">
        <w:rPr>
          <w:bCs/>
          <w:lang w:val="ru-RU"/>
        </w:rPr>
        <w:t xml:space="preserve"> Правительствон</w:t>
      </w:r>
      <w:r w:rsidR="000C58E4">
        <w:rPr>
          <w:bCs/>
          <w:lang w:val="ru-RU"/>
        </w:rPr>
        <w:t xml:space="preserve"> </w:t>
      </w:r>
      <w:proofErr w:type="spellStart"/>
      <w:r w:rsidRPr="000C58E4">
        <w:rPr>
          <w:bCs/>
          <w:lang w:val="ru-RU"/>
        </w:rPr>
        <w:t>архивийн</w:t>
      </w:r>
      <w:proofErr w:type="spellEnd"/>
      <w:r w:rsidR="000C58E4">
        <w:rPr>
          <w:bCs/>
          <w:lang w:val="ru-RU"/>
        </w:rPr>
        <w:t xml:space="preserve"> </w:t>
      </w:r>
      <w:proofErr w:type="spellStart"/>
      <w:r w:rsidRPr="000C58E4">
        <w:rPr>
          <w:bCs/>
          <w:lang w:val="ru-RU"/>
        </w:rPr>
        <w:t>урхалла</w:t>
      </w:r>
      <w:proofErr w:type="spellEnd"/>
      <w:r w:rsidRPr="000C58E4">
        <w:rPr>
          <w:bCs/>
          <w:lang w:val="ru-RU"/>
        </w:rPr>
        <w:t>)</w:t>
      </w:r>
    </w:p>
    <w:p w:rsidR="00092C80" w:rsidRPr="000C58E4" w:rsidRDefault="00092C80" w:rsidP="00092C80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92C80" w:rsidRPr="000C58E4" w:rsidRDefault="00092C80" w:rsidP="00092C80">
      <w:pPr>
        <w:pStyle w:val="a7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0C58E4">
        <w:rPr>
          <w:rStyle w:val="a6"/>
          <w:rFonts w:ascii="Times New Roman" w:hAnsi="Times New Roman" w:cs="Times New Roman"/>
          <w:b w:val="0"/>
          <w:sz w:val="28"/>
          <w:szCs w:val="28"/>
        </w:rPr>
        <w:t>П Р И К А 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092C80" w:rsidRPr="000C58E4" w:rsidTr="00092C8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C80" w:rsidRPr="000C58E4" w:rsidRDefault="000C58E4" w:rsidP="00092C80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0C58E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en-US"/>
              </w:rPr>
              <w:t xml:space="preserve">25 </w:t>
            </w:r>
            <w:r w:rsidRPr="000C58E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января 2023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C80" w:rsidRPr="000C58E4" w:rsidRDefault="00092C80" w:rsidP="00092C80">
            <w:pPr>
              <w:pStyle w:val="a7"/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58E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C80" w:rsidRPr="000C58E4" w:rsidRDefault="000C58E4" w:rsidP="00092C80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0C58E4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12а</w:t>
            </w:r>
            <w:proofErr w:type="spellEnd"/>
          </w:p>
        </w:tc>
      </w:tr>
    </w:tbl>
    <w:p w:rsidR="00092C80" w:rsidRPr="000C58E4" w:rsidRDefault="00092C80" w:rsidP="00092C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58E4">
        <w:rPr>
          <w:rFonts w:ascii="Times New Roman" w:hAnsi="Times New Roman" w:cs="Times New Roman"/>
          <w:sz w:val="28"/>
          <w:szCs w:val="28"/>
        </w:rPr>
        <w:t>г. Грозный</w:t>
      </w:r>
    </w:p>
    <w:p w:rsidR="00092C80" w:rsidRPr="000C58E4" w:rsidRDefault="00092C80" w:rsidP="00092C80">
      <w:pPr>
        <w:spacing w:after="0" w:line="267" w:lineRule="auto"/>
        <w:ind w:right="100" w:hanging="142"/>
        <w:rPr>
          <w:szCs w:val="28"/>
        </w:rPr>
      </w:pPr>
    </w:p>
    <w:p w:rsidR="00092C80" w:rsidRPr="000C58E4" w:rsidRDefault="00092C80" w:rsidP="000C58E4">
      <w:pPr>
        <w:spacing w:after="0" w:line="240" w:lineRule="auto"/>
        <w:ind w:right="102" w:firstLine="0"/>
        <w:jc w:val="left"/>
        <w:rPr>
          <w:szCs w:val="28"/>
          <w:lang w:val="ru-RU"/>
        </w:rPr>
      </w:pPr>
      <w:r w:rsidRPr="000C58E4">
        <w:rPr>
          <w:szCs w:val="28"/>
          <w:lang w:val="ru-RU"/>
        </w:rPr>
        <w:t>Об утверждении ключевых</w:t>
      </w:r>
      <w:r w:rsidR="000C58E4" w:rsidRPr="000C58E4">
        <w:rPr>
          <w:szCs w:val="28"/>
          <w:lang w:val="ru-RU"/>
        </w:rPr>
        <w:br/>
      </w:r>
      <w:r w:rsidRPr="000C58E4">
        <w:rPr>
          <w:szCs w:val="28"/>
          <w:lang w:val="ru-RU"/>
        </w:rPr>
        <w:t>показателей эфф</w:t>
      </w:r>
      <w:r w:rsidR="000C58E4" w:rsidRPr="000C58E4">
        <w:rPr>
          <w:szCs w:val="28"/>
          <w:lang w:val="ru-RU"/>
        </w:rPr>
        <w:t>ективности</w:t>
      </w:r>
      <w:r w:rsidR="000C58E4" w:rsidRPr="000C58E4">
        <w:rPr>
          <w:szCs w:val="28"/>
          <w:lang w:val="ru-RU"/>
        </w:rPr>
        <w:br/>
      </w:r>
      <w:r w:rsidRPr="000C58E4">
        <w:rPr>
          <w:szCs w:val="28"/>
          <w:lang w:val="ru-RU"/>
        </w:rPr>
        <w:t>функционирования антимонопольного</w:t>
      </w:r>
      <w:r w:rsidR="000C58E4" w:rsidRPr="000C58E4">
        <w:rPr>
          <w:szCs w:val="28"/>
          <w:lang w:val="ru-RU"/>
        </w:rPr>
        <w:br/>
      </w:r>
      <w:proofErr w:type="spellStart"/>
      <w:r w:rsidRPr="000C58E4">
        <w:rPr>
          <w:szCs w:val="28"/>
          <w:lang w:val="ru-RU"/>
        </w:rPr>
        <w:t>комплаенса</w:t>
      </w:r>
      <w:proofErr w:type="spellEnd"/>
      <w:r w:rsidRPr="000C58E4">
        <w:rPr>
          <w:szCs w:val="28"/>
          <w:lang w:val="ru-RU"/>
        </w:rPr>
        <w:t xml:space="preserve"> в Архивном управлении</w:t>
      </w:r>
      <w:r w:rsidR="000C58E4" w:rsidRPr="000C58E4">
        <w:rPr>
          <w:szCs w:val="28"/>
          <w:lang w:val="ru-RU"/>
        </w:rPr>
        <w:br/>
      </w:r>
      <w:r w:rsidRPr="000C58E4">
        <w:rPr>
          <w:szCs w:val="28"/>
          <w:lang w:val="ru-RU"/>
        </w:rPr>
        <w:t xml:space="preserve">Правительства Чеченской Республики </w:t>
      </w:r>
    </w:p>
    <w:p w:rsidR="00092C80" w:rsidRPr="000C58E4" w:rsidRDefault="00092C80" w:rsidP="00092C80">
      <w:pPr>
        <w:spacing w:after="0" w:line="240" w:lineRule="auto"/>
        <w:rPr>
          <w:szCs w:val="28"/>
          <w:lang w:val="ru-RU"/>
        </w:rPr>
      </w:pPr>
    </w:p>
    <w:p w:rsidR="000C58E4" w:rsidRPr="000C58E4" w:rsidRDefault="000C58E4" w:rsidP="00092C80">
      <w:pPr>
        <w:spacing w:after="0" w:line="240" w:lineRule="auto"/>
        <w:rPr>
          <w:szCs w:val="28"/>
          <w:lang w:val="ru-RU"/>
        </w:rPr>
      </w:pPr>
    </w:p>
    <w:p w:rsidR="00092C80" w:rsidRPr="000C58E4" w:rsidRDefault="00092C80" w:rsidP="000C58E4">
      <w:pPr>
        <w:spacing w:after="158" w:line="240" w:lineRule="auto"/>
        <w:ind w:left="43" w:right="33"/>
        <w:rPr>
          <w:szCs w:val="28"/>
          <w:lang w:val="ru-RU"/>
        </w:rPr>
      </w:pPr>
      <w:r w:rsidRPr="000C58E4">
        <w:rPr>
          <w:szCs w:val="28"/>
          <w:lang w:val="ru-RU"/>
        </w:rPr>
        <w:t>В соответствии с Указом Президента Российской Федерации от 21.12.2017 №</w:t>
      </w:r>
      <w:r w:rsidRPr="000C58E4">
        <w:rPr>
          <w:szCs w:val="28"/>
        </w:rPr>
        <w:t> </w:t>
      </w:r>
      <w:r w:rsidRPr="000C58E4">
        <w:rPr>
          <w:szCs w:val="28"/>
          <w:lang w:val="ru-RU"/>
        </w:rPr>
        <w:t>618 «Об основных направлениях государственной политики по развитию конкуренции» и приказом от 13.02.2019 № 15 «Об организации системы внутреннего обеспечения соответствия требованиям антимонопольного законодательства в Архивном управлении Правительства Чеченской Республики</w:t>
      </w:r>
      <w:proofErr w:type="gramStart"/>
      <w:r w:rsidRPr="000C58E4">
        <w:rPr>
          <w:szCs w:val="28"/>
          <w:lang w:val="ru-RU"/>
        </w:rPr>
        <w:t>»,  п</w:t>
      </w:r>
      <w:proofErr w:type="gramEnd"/>
      <w:r w:rsidRPr="000C58E4">
        <w:rPr>
          <w:szCs w:val="28"/>
          <w:lang w:val="ru-RU"/>
        </w:rPr>
        <w:t xml:space="preserve"> р и к а з ы в а ю</w:t>
      </w:r>
    </w:p>
    <w:p w:rsidR="00092C80" w:rsidRPr="000C58E4" w:rsidRDefault="00092C80" w:rsidP="000C58E4">
      <w:pPr>
        <w:numPr>
          <w:ilvl w:val="0"/>
          <w:numId w:val="1"/>
        </w:numPr>
        <w:spacing w:line="240" w:lineRule="auto"/>
        <w:ind w:left="0" w:right="33" w:firstLine="709"/>
        <w:rPr>
          <w:szCs w:val="28"/>
        </w:rPr>
      </w:pPr>
      <w:r w:rsidRPr="000C58E4">
        <w:rPr>
          <w:szCs w:val="28"/>
          <w:lang w:val="ru-RU"/>
        </w:rPr>
        <w:t>Утвердить ключевые показатели эффективности функционирования в Архивном управлении</w:t>
      </w:r>
      <w:bookmarkStart w:id="0" w:name="_GoBack"/>
      <w:bookmarkEnd w:id="0"/>
      <w:r w:rsidRPr="000C58E4">
        <w:rPr>
          <w:szCs w:val="28"/>
          <w:lang w:val="ru-RU"/>
        </w:rPr>
        <w:t xml:space="preserve"> Правительства Чеченской Республики (далее – Управление) антимонопольного </w:t>
      </w:r>
      <w:proofErr w:type="spellStart"/>
      <w:r w:rsidRPr="000C58E4">
        <w:rPr>
          <w:szCs w:val="28"/>
          <w:lang w:val="ru-RU"/>
        </w:rPr>
        <w:t>комплаенса</w:t>
      </w:r>
      <w:proofErr w:type="spellEnd"/>
      <w:r w:rsidRPr="000C58E4">
        <w:rPr>
          <w:szCs w:val="28"/>
          <w:lang w:val="ru-RU"/>
        </w:rPr>
        <w:t xml:space="preserve"> согласно приложению </w:t>
      </w:r>
      <w:r w:rsidRPr="000C58E4">
        <w:rPr>
          <w:szCs w:val="28"/>
        </w:rPr>
        <w:t xml:space="preserve">№ 1 к </w:t>
      </w:r>
      <w:proofErr w:type="spellStart"/>
      <w:r w:rsidRPr="000C58E4">
        <w:rPr>
          <w:szCs w:val="28"/>
        </w:rPr>
        <w:t>настоящему</w:t>
      </w:r>
      <w:proofErr w:type="spellEnd"/>
      <w:r w:rsidRPr="000C58E4">
        <w:rPr>
          <w:szCs w:val="28"/>
        </w:rPr>
        <w:t xml:space="preserve"> </w:t>
      </w:r>
      <w:proofErr w:type="spellStart"/>
      <w:r w:rsidRPr="000C58E4">
        <w:rPr>
          <w:szCs w:val="28"/>
        </w:rPr>
        <w:t>приказу</w:t>
      </w:r>
      <w:proofErr w:type="spellEnd"/>
      <w:r w:rsidRPr="000C58E4">
        <w:rPr>
          <w:szCs w:val="28"/>
        </w:rPr>
        <w:t>.</w:t>
      </w:r>
    </w:p>
    <w:p w:rsidR="00092C80" w:rsidRPr="000C58E4" w:rsidRDefault="00092C80" w:rsidP="000C58E4">
      <w:pPr>
        <w:numPr>
          <w:ilvl w:val="0"/>
          <w:numId w:val="1"/>
        </w:numPr>
        <w:spacing w:after="491" w:line="240" w:lineRule="auto"/>
        <w:ind w:left="0" w:right="33" w:firstLine="709"/>
        <w:rPr>
          <w:szCs w:val="28"/>
          <w:lang w:val="ru-RU"/>
        </w:rPr>
      </w:pPr>
      <w:r w:rsidRPr="000C58E4">
        <w:rPr>
          <w:szCs w:val="28"/>
          <w:lang w:val="ru-RU"/>
        </w:rPr>
        <w:t>Контроль за исполнением настоящего приказа возложить на заместителя начальника Управления.</w:t>
      </w:r>
    </w:p>
    <w:p w:rsidR="00092C80" w:rsidRPr="000C58E4" w:rsidRDefault="00092C80" w:rsidP="000C58E4">
      <w:pPr>
        <w:autoSpaceDE w:val="0"/>
        <w:autoSpaceDN w:val="0"/>
        <w:adjustRightInd w:val="0"/>
        <w:ind w:firstLine="0"/>
        <w:rPr>
          <w:rFonts w:eastAsia="Times-Roman"/>
          <w:i/>
          <w:szCs w:val="28"/>
          <w:lang w:val="ru-RU"/>
        </w:rPr>
      </w:pPr>
      <w:r w:rsidRPr="000C58E4">
        <w:rPr>
          <w:rFonts w:eastAsia="Times-Roman"/>
          <w:szCs w:val="28"/>
          <w:lang w:val="ru-RU"/>
        </w:rPr>
        <w:t xml:space="preserve">Начальник    </w:t>
      </w:r>
      <w:r w:rsidRPr="000C58E4">
        <w:rPr>
          <w:rFonts w:eastAsia="Times-Roman"/>
          <w:i/>
          <w:szCs w:val="28"/>
          <w:lang w:val="ru-RU"/>
        </w:rPr>
        <w:t xml:space="preserve">Ш.К. </w:t>
      </w:r>
      <w:proofErr w:type="spellStart"/>
      <w:r w:rsidRPr="000C58E4">
        <w:rPr>
          <w:rFonts w:eastAsia="Times-Roman"/>
          <w:i/>
          <w:szCs w:val="28"/>
          <w:lang w:val="ru-RU"/>
        </w:rPr>
        <w:t>Айдамиров</w:t>
      </w:r>
      <w:proofErr w:type="spellEnd"/>
    </w:p>
    <w:p w:rsidR="00092C80" w:rsidRPr="000C58E4" w:rsidRDefault="00092C80" w:rsidP="00092C80">
      <w:pPr>
        <w:autoSpaceDE w:val="0"/>
        <w:autoSpaceDN w:val="0"/>
        <w:adjustRightInd w:val="0"/>
        <w:rPr>
          <w:rFonts w:eastAsia="Times-Roman"/>
          <w:szCs w:val="28"/>
          <w:lang w:val="ru-RU"/>
        </w:rPr>
      </w:pPr>
    </w:p>
    <w:p w:rsidR="00103BA1" w:rsidRPr="000C58E4" w:rsidRDefault="000C58E4" w:rsidP="00103BA1">
      <w:pPr>
        <w:spacing w:after="165" w:line="216" w:lineRule="auto"/>
        <w:ind w:left="7371" w:right="33" w:firstLine="0"/>
        <w:rPr>
          <w:sz w:val="24"/>
          <w:szCs w:val="24"/>
          <w:lang w:val="ru-RU"/>
        </w:rPr>
      </w:pPr>
      <w:r w:rsidRPr="000C58E4">
        <w:rPr>
          <w:sz w:val="24"/>
          <w:szCs w:val="24"/>
          <w:lang w:val="ru-RU"/>
        </w:rPr>
        <w:br w:type="page"/>
      </w:r>
      <w:r w:rsidR="0067004A" w:rsidRPr="000C58E4">
        <w:rPr>
          <w:sz w:val="24"/>
          <w:szCs w:val="24"/>
          <w:lang w:val="ru-RU"/>
        </w:rPr>
        <w:lastRenderedPageBreak/>
        <w:t xml:space="preserve">Приложение № 1 </w:t>
      </w:r>
    </w:p>
    <w:p w:rsidR="000C58E4" w:rsidRPr="000C58E4" w:rsidRDefault="00103BA1" w:rsidP="000C58E4">
      <w:pPr>
        <w:spacing w:after="0" w:line="240" w:lineRule="auto"/>
        <w:ind w:left="6237" w:right="34" w:firstLine="0"/>
        <w:jc w:val="center"/>
        <w:rPr>
          <w:sz w:val="24"/>
          <w:szCs w:val="24"/>
          <w:lang w:val="ru-RU"/>
        </w:rPr>
      </w:pPr>
      <w:r w:rsidRPr="000C58E4">
        <w:rPr>
          <w:sz w:val="24"/>
          <w:szCs w:val="24"/>
          <w:lang w:val="ru-RU"/>
        </w:rPr>
        <w:t>УТВЕРЖДЕНО</w:t>
      </w:r>
    </w:p>
    <w:p w:rsidR="007A18E9" w:rsidRPr="000C58E4" w:rsidRDefault="00103BA1" w:rsidP="000C58E4">
      <w:pPr>
        <w:spacing w:after="165" w:line="216" w:lineRule="auto"/>
        <w:ind w:left="6237" w:right="33" w:firstLine="0"/>
        <w:jc w:val="center"/>
        <w:rPr>
          <w:sz w:val="24"/>
          <w:szCs w:val="24"/>
          <w:lang w:val="ru-RU"/>
        </w:rPr>
      </w:pPr>
      <w:r w:rsidRPr="000C58E4">
        <w:rPr>
          <w:sz w:val="24"/>
          <w:szCs w:val="24"/>
          <w:lang w:val="ru-RU"/>
        </w:rPr>
        <w:t xml:space="preserve">приказом начальника Архивного управления Правительства Чеченской Республики от </w:t>
      </w:r>
      <w:r w:rsidR="000C58E4" w:rsidRPr="000C58E4">
        <w:rPr>
          <w:sz w:val="24"/>
          <w:szCs w:val="24"/>
          <w:lang w:val="ru-RU"/>
        </w:rPr>
        <w:t>25.01.2023</w:t>
      </w:r>
      <w:r w:rsidRPr="000C58E4">
        <w:rPr>
          <w:sz w:val="24"/>
          <w:szCs w:val="24"/>
          <w:lang w:val="ru-RU"/>
        </w:rPr>
        <w:t xml:space="preserve"> № </w:t>
      </w:r>
      <w:proofErr w:type="spellStart"/>
      <w:r w:rsidR="000C58E4" w:rsidRPr="000C58E4">
        <w:rPr>
          <w:sz w:val="24"/>
          <w:szCs w:val="24"/>
          <w:lang w:val="ru-RU"/>
        </w:rPr>
        <w:t>12а</w:t>
      </w:r>
      <w:proofErr w:type="spellEnd"/>
    </w:p>
    <w:p w:rsidR="00103BA1" w:rsidRPr="000C58E4" w:rsidRDefault="00103BA1">
      <w:pPr>
        <w:spacing w:after="520" w:line="224" w:lineRule="auto"/>
        <w:ind w:left="720" w:right="720" w:firstLine="0"/>
        <w:jc w:val="center"/>
        <w:rPr>
          <w:sz w:val="30"/>
          <w:lang w:val="ru-RU"/>
        </w:rPr>
      </w:pPr>
    </w:p>
    <w:p w:rsidR="007A18E9" w:rsidRPr="000C58E4" w:rsidRDefault="0067004A">
      <w:pPr>
        <w:spacing w:after="520" w:line="224" w:lineRule="auto"/>
        <w:ind w:left="720" w:right="720" w:firstLine="0"/>
        <w:jc w:val="center"/>
        <w:rPr>
          <w:lang w:val="ru-RU"/>
        </w:rPr>
      </w:pPr>
      <w:r w:rsidRPr="000C58E4">
        <w:rPr>
          <w:sz w:val="30"/>
          <w:lang w:val="ru-RU"/>
        </w:rPr>
        <w:t xml:space="preserve">Ключевые показатели эффективности функционирования в </w:t>
      </w:r>
      <w:r w:rsidR="00103BA1" w:rsidRPr="000C58E4">
        <w:rPr>
          <w:sz w:val="30"/>
          <w:lang w:val="ru-RU"/>
        </w:rPr>
        <w:t>Архивном управлении Правительства Чеченской Республики</w:t>
      </w:r>
      <w:r w:rsidRPr="000C58E4">
        <w:rPr>
          <w:sz w:val="30"/>
          <w:lang w:val="ru-RU"/>
        </w:rPr>
        <w:t xml:space="preserve"> антимонопольного комплаенса</w:t>
      </w:r>
    </w:p>
    <w:p w:rsidR="007A18E9" w:rsidRPr="000C58E4" w:rsidRDefault="0067004A">
      <w:pPr>
        <w:ind w:left="43" w:right="33"/>
        <w:rPr>
          <w:lang w:val="ru-RU"/>
        </w:rPr>
      </w:pPr>
      <w:r w:rsidRPr="000C58E4">
        <w:rPr>
          <w:lang w:val="ru-RU"/>
        </w:rPr>
        <w:t xml:space="preserve">Ключевые показатели эффективности функционирования антимонопольного комплаенса для </w:t>
      </w:r>
      <w:r w:rsidR="00103BA1" w:rsidRPr="000C58E4">
        <w:rPr>
          <w:lang w:val="ru-RU"/>
        </w:rPr>
        <w:t xml:space="preserve">Архивного управления Правительства Чеченской Республики </w:t>
      </w:r>
      <w:r w:rsidRPr="000C58E4">
        <w:rPr>
          <w:lang w:val="ru-RU"/>
        </w:rPr>
        <w:t xml:space="preserve">(далее — </w:t>
      </w:r>
      <w:r w:rsidR="00103BA1" w:rsidRPr="000C58E4">
        <w:rPr>
          <w:lang w:val="ru-RU"/>
        </w:rPr>
        <w:t>Управление</w:t>
      </w:r>
      <w:r w:rsidRPr="000C58E4">
        <w:rPr>
          <w:lang w:val="ru-RU"/>
        </w:rPr>
        <w:t>) в целом:</w:t>
      </w:r>
    </w:p>
    <w:p w:rsidR="00103BA1" w:rsidRPr="000C58E4" w:rsidRDefault="0067004A" w:rsidP="00EA62C7">
      <w:pPr>
        <w:spacing w:after="29"/>
        <w:ind w:left="43" w:right="33"/>
        <w:rPr>
          <w:szCs w:val="28"/>
          <w:lang w:val="ru-RU"/>
        </w:rPr>
      </w:pPr>
      <w:r w:rsidRPr="000C58E4">
        <w:rPr>
          <w:lang w:val="ru-RU"/>
        </w:rPr>
        <w:t xml:space="preserve">1. </w:t>
      </w:r>
      <w:r w:rsidR="00103BA1" w:rsidRPr="000C58E4">
        <w:rPr>
          <w:szCs w:val="28"/>
          <w:lang w:val="ru-RU"/>
        </w:rPr>
        <w:t>Коэффициент снижения количества нарушений антимонопольного законодательства со стороны Управления (по сравнению с предшествующим годом) рассчитывается по формуле:</w:t>
      </w:r>
    </w:p>
    <w:p w:rsidR="00103BA1" w:rsidRPr="000C58E4" w:rsidRDefault="000C58E4" w:rsidP="00103BA1">
      <w:pPr>
        <w:spacing w:after="0" w:line="240" w:lineRule="auto"/>
        <w:ind w:left="709"/>
        <w:rPr>
          <w:i/>
          <w:szCs w:val="28"/>
          <w:lang w:val="ru-RU"/>
        </w:rPr>
      </w:pPr>
      <m:oMath>
        <m:r>
          <w:rPr>
            <w:rFonts w:ascii="Cambria Math" w:hAnsi="Cambria Math"/>
            <w:szCs w:val="28"/>
            <w:lang w:val="ru-RU"/>
          </w:rPr>
          <m:t>КСН=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КН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2022_г.</m:t>
                </m:r>
              </m:sub>
            </m:sSub>
          </m:num>
          <m:den>
            <m:r>
              <w:rPr>
                <w:rFonts w:ascii="Cambria Math" w:hAnsi="Cambria Math"/>
                <w:szCs w:val="28"/>
                <w:lang w:val="ru-RU"/>
              </w:rPr>
              <m:t>КНоп</m:t>
            </m:r>
          </m:den>
        </m:f>
      </m:oMath>
      <w:r w:rsidR="00103BA1" w:rsidRPr="000C58E4">
        <w:rPr>
          <w:i/>
          <w:szCs w:val="28"/>
          <w:lang w:val="ru-RU"/>
        </w:rPr>
        <w:t xml:space="preserve">, </w:t>
      </w:r>
      <w:r w:rsidR="00103BA1" w:rsidRPr="000C58E4">
        <w:rPr>
          <w:szCs w:val="28"/>
          <w:lang w:val="ru-RU"/>
        </w:rPr>
        <w:t>где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r w:rsidRPr="000C58E4">
        <w:rPr>
          <w:szCs w:val="28"/>
          <w:lang w:val="ru-RU"/>
        </w:rPr>
        <w:t>КСН – коэффициент снижения количества нарушений антимонопольного законодательства со стороны Управления по сравнению с 2021 годом;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r w:rsidRPr="000C58E4">
        <w:rPr>
          <w:szCs w:val="28"/>
          <w:lang w:val="ru-RU"/>
        </w:rPr>
        <w:t>КН</w:t>
      </w:r>
      <w:r w:rsidRPr="000C58E4">
        <w:rPr>
          <w:szCs w:val="28"/>
          <w:vertAlign w:val="subscript"/>
          <w:lang w:val="ru-RU"/>
        </w:rPr>
        <w:t>2022г.</w:t>
      </w:r>
      <w:r w:rsidRPr="000C58E4">
        <w:rPr>
          <w:i/>
          <w:szCs w:val="28"/>
          <w:lang w:val="ru-RU"/>
        </w:rPr>
        <w:t xml:space="preserve"> – </w:t>
      </w:r>
      <w:r w:rsidRPr="000C58E4">
        <w:rPr>
          <w:szCs w:val="28"/>
          <w:lang w:val="ru-RU"/>
        </w:rPr>
        <w:t>количество нарушений антимонопольного законодательства со стороны Управления в 2022 году;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proofErr w:type="spellStart"/>
      <w:r w:rsidRPr="000C58E4">
        <w:rPr>
          <w:szCs w:val="28"/>
          <w:lang w:val="ru-RU"/>
        </w:rPr>
        <w:t>КНоп</w:t>
      </w:r>
      <w:proofErr w:type="spellEnd"/>
      <w:r w:rsidRPr="000C58E4">
        <w:rPr>
          <w:szCs w:val="28"/>
          <w:lang w:val="ru-RU"/>
        </w:rPr>
        <w:t xml:space="preserve"> – количество нарушений антимонопольного законодательства со стороны Управления в отчетном периоде.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r w:rsidRPr="000C58E4">
        <w:rPr>
          <w:szCs w:val="28"/>
          <w:lang w:val="ru-RU"/>
        </w:rPr>
        <w:t xml:space="preserve">При расчете коэффициента снижения количества нарушений антимонопольного законодательства со стороны </w:t>
      </w:r>
      <w:r w:rsidR="00EA62C7" w:rsidRPr="000C58E4">
        <w:rPr>
          <w:szCs w:val="28"/>
          <w:lang w:val="ru-RU"/>
        </w:rPr>
        <w:t>Управления</w:t>
      </w:r>
      <w:r w:rsidRPr="000C58E4">
        <w:rPr>
          <w:szCs w:val="28"/>
          <w:lang w:val="ru-RU"/>
        </w:rPr>
        <w:t xml:space="preserve"> под нарушением антимонопольного законодательства со стороны </w:t>
      </w:r>
      <w:r w:rsidR="00EA62C7" w:rsidRPr="000C58E4">
        <w:rPr>
          <w:szCs w:val="28"/>
          <w:lang w:val="ru-RU"/>
        </w:rPr>
        <w:t>Управления</w:t>
      </w:r>
      <w:r w:rsidRPr="000C58E4">
        <w:rPr>
          <w:szCs w:val="28"/>
          <w:lang w:val="ru-RU"/>
        </w:rPr>
        <w:t xml:space="preserve"> понимаются: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r w:rsidRPr="000C58E4">
        <w:rPr>
          <w:szCs w:val="28"/>
          <w:lang w:val="ru-RU"/>
        </w:rPr>
        <w:t xml:space="preserve">- возбужденные антимонопольным органом в отношении </w:t>
      </w:r>
      <w:r w:rsidR="00EA62C7" w:rsidRPr="000C58E4">
        <w:rPr>
          <w:szCs w:val="28"/>
          <w:lang w:val="ru-RU"/>
        </w:rPr>
        <w:t>Управления</w:t>
      </w:r>
      <w:r w:rsidRPr="000C58E4">
        <w:rPr>
          <w:szCs w:val="28"/>
          <w:lang w:val="ru-RU"/>
        </w:rPr>
        <w:t xml:space="preserve"> антимонопольные дела;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r w:rsidRPr="000C58E4">
        <w:rPr>
          <w:szCs w:val="28"/>
          <w:lang w:val="ru-RU"/>
        </w:rPr>
        <w:t xml:space="preserve">- выданные антимонопольным органом </w:t>
      </w:r>
      <w:r w:rsidR="00EA62C7" w:rsidRPr="000C58E4">
        <w:rPr>
          <w:szCs w:val="28"/>
          <w:lang w:val="ru-RU"/>
        </w:rPr>
        <w:t>Управлению</w:t>
      </w:r>
      <w:r w:rsidRPr="000C58E4">
        <w:rPr>
          <w:szCs w:val="28"/>
          <w:lang w:val="ru-RU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r w:rsidRPr="000C58E4">
        <w:rPr>
          <w:szCs w:val="28"/>
          <w:lang w:val="ru-RU"/>
        </w:rPr>
        <w:t xml:space="preserve">- направленные антимонопольным органом </w:t>
      </w:r>
      <w:r w:rsidR="00EA62C7" w:rsidRPr="000C58E4">
        <w:rPr>
          <w:szCs w:val="28"/>
          <w:lang w:val="ru-RU"/>
        </w:rPr>
        <w:t>Управлению</w:t>
      </w:r>
      <w:r w:rsidRPr="000C58E4">
        <w:rPr>
          <w:szCs w:val="28"/>
          <w:lang w:val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103BA1" w:rsidRPr="000C58E4" w:rsidRDefault="00EA62C7" w:rsidP="00103BA1">
      <w:pPr>
        <w:spacing w:after="0" w:line="240" w:lineRule="auto"/>
        <w:ind w:firstLine="709"/>
        <w:rPr>
          <w:szCs w:val="28"/>
          <w:lang w:val="ru-RU"/>
        </w:rPr>
      </w:pPr>
      <w:r w:rsidRPr="000C58E4">
        <w:rPr>
          <w:szCs w:val="28"/>
          <w:lang w:val="ru-RU"/>
        </w:rPr>
        <w:t xml:space="preserve">2. </w:t>
      </w:r>
      <w:r w:rsidR="00103BA1" w:rsidRPr="000C58E4">
        <w:rPr>
          <w:szCs w:val="28"/>
          <w:lang w:val="ru-RU"/>
        </w:rPr>
        <w:t xml:space="preserve">Доля проектов нормативных правовых актов </w:t>
      </w:r>
      <w:r w:rsidRPr="000C58E4">
        <w:rPr>
          <w:szCs w:val="28"/>
          <w:lang w:val="ru-RU"/>
        </w:rPr>
        <w:t>Управления</w:t>
      </w:r>
      <w:r w:rsidR="00103BA1" w:rsidRPr="000C58E4">
        <w:rPr>
          <w:szCs w:val="28"/>
          <w:lang w:val="ru-RU"/>
        </w:rPr>
        <w:t>, в которых выявлены риски нарушения антимонопольного законодательства, рассчитывается по формуле:</w:t>
      </w:r>
    </w:p>
    <w:p w:rsidR="00103BA1" w:rsidRPr="000C58E4" w:rsidRDefault="000C58E4" w:rsidP="00103BA1">
      <w:pPr>
        <w:spacing w:after="0" w:line="240" w:lineRule="auto"/>
        <w:ind w:firstLine="709"/>
        <w:rPr>
          <w:i/>
          <w:szCs w:val="28"/>
          <w:lang w:val="ru-RU"/>
        </w:rPr>
      </w:pPr>
      <m:oMath>
        <m:r>
          <w:rPr>
            <w:rFonts w:ascii="Cambria Math" w:hAnsi="Cambria Math"/>
            <w:szCs w:val="28"/>
          </w:rPr>
          <m:t>Дпнпа=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Кпнпа</m:t>
            </m:r>
          </m:num>
          <m:den>
            <m:r>
              <w:rPr>
                <w:rFonts w:ascii="Cambria Math" w:hAnsi="Cambria Math"/>
                <w:szCs w:val="28"/>
              </w:rPr>
              <m:t>КНоп</m:t>
            </m:r>
          </m:den>
        </m:f>
      </m:oMath>
      <w:r w:rsidR="00103BA1" w:rsidRPr="000C58E4">
        <w:rPr>
          <w:i/>
          <w:szCs w:val="28"/>
          <w:lang w:val="ru-RU"/>
        </w:rPr>
        <w:t xml:space="preserve">, </w:t>
      </w:r>
      <w:r w:rsidR="00103BA1" w:rsidRPr="000C58E4">
        <w:rPr>
          <w:szCs w:val="28"/>
          <w:lang w:val="ru-RU"/>
        </w:rPr>
        <w:t>где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proofErr w:type="spellStart"/>
      <w:r w:rsidRPr="000C58E4">
        <w:rPr>
          <w:szCs w:val="28"/>
          <w:lang w:val="ru-RU"/>
        </w:rPr>
        <w:lastRenderedPageBreak/>
        <w:t>Дпнпа</w:t>
      </w:r>
      <w:proofErr w:type="spellEnd"/>
      <w:r w:rsidRPr="000C58E4">
        <w:rPr>
          <w:szCs w:val="28"/>
          <w:lang w:val="ru-RU"/>
        </w:rPr>
        <w:t xml:space="preserve"> – доля проектов нормативных правовых актов </w:t>
      </w:r>
      <w:r w:rsidR="00EA62C7" w:rsidRPr="000C58E4">
        <w:rPr>
          <w:szCs w:val="28"/>
          <w:lang w:val="ru-RU"/>
        </w:rPr>
        <w:t>Управления</w:t>
      </w:r>
      <w:r w:rsidRPr="000C58E4">
        <w:rPr>
          <w:szCs w:val="28"/>
          <w:lang w:val="ru-RU"/>
        </w:rPr>
        <w:t>, в которых выявлены риски нарушения антимонопольного законодательства;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proofErr w:type="spellStart"/>
      <w:r w:rsidRPr="000C58E4">
        <w:rPr>
          <w:szCs w:val="28"/>
          <w:lang w:val="ru-RU"/>
        </w:rPr>
        <w:t>Кпнпа</w:t>
      </w:r>
      <w:proofErr w:type="spellEnd"/>
      <w:r w:rsidRPr="000C58E4">
        <w:rPr>
          <w:szCs w:val="28"/>
          <w:lang w:val="ru-RU"/>
        </w:rPr>
        <w:t xml:space="preserve"> – количество проектов нормативных правовых актов </w:t>
      </w:r>
      <w:r w:rsidR="00EA62C7" w:rsidRPr="000C58E4">
        <w:rPr>
          <w:szCs w:val="28"/>
          <w:lang w:val="ru-RU"/>
        </w:rPr>
        <w:t>Управления</w:t>
      </w:r>
      <w:r w:rsidRPr="000C58E4">
        <w:rPr>
          <w:szCs w:val="28"/>
          <w:lang w:val="ru-RU"/>
        </w:rPr>
        <w:t xml:space="preserve">, в которых </w:t>
      </w:r>
      <w:r w:rsidR="00EA62C7" w:rsidRPr="000C58E4">
        <w:rPr>
          <w:szCs w:val="28"/>
          <w:lang w:val="ru-RU"/>
        </w:rPr>
        <w:t>Управлением</w:t>
      </w:r>
      <w:r w:rsidRPr="000C58E4">
        <w:rPr>
          <w:szCs w:val="28"/>
          <w:lang w:val="ru-RU"/>
        </w:rPr>
        <w:t xml:space="preserve"> выявлены риски нарушения антимонопольного законодательства (в отчетном периоде);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proofErr w:type="spellStart"/>
      <w:r w:rsidRPr="000C58E4">
        <w:rPr>
          <w:szCs w:val="28"/>
          <w:lang w:val="ru-RU"/>
        </w:rPr>
        <w:t>КНоп</w:t>
      </w:r>
      <w:proofErr w:type="spellEnd"/>
      <w:r w:rsidRPr="000C58E4">
        <w:rPr>
          <w:szCs w:val="28"/>
          <w:lang w:val="ru-RU"/>
        </w:rPr>
        <w:t xml:space="preserve"> – количество нормативных правовых актов </w:t>
      </w:r>
      <w:r w:rsidR="00EA62C7" w:rsidRPr="000C58E4">
        <w:rPr>
          <w:szCs w:val="28"/>
          <w:lang w:val="ru-RU"/>
        </w:rPr>
        <w:t>Управления</w:t>
      </w:r>
      <w:r w:rsidRPr="000C58E4">
        <w:rPr>
          <w:szCs w:val="28"/>
          <w:lang w:val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103BA1" w:rsidRPr="000C58E4" w:rsidRDefault="00EA62C7" w:rsidP="00103BA1">
      <w:pPr>
        <w:spacing w:after="0" w:line="240" w:lineRule="auto"/>
        <w:ind w:firstLine="709"/>
        <w:rPr>
          <w:szCs w:val="28"/>
          <w:lang w:val="ru-RU"/>
        </w:rPr>
      </w:pPr>
      <w:r w:rsidRPr="000C58E4">
        <w:rPr>
          <w:szCs w:val="28"/>
          <w:lang w:val="ru-RU"/>
        </w:rPr>
        <w:t xml:space="preserve">3. </w:t>
      </w:r>
      <w:r w:rsidR="00103BA1" w:rsidRPr="000C58E4">
        <w:rPr>
          <w:szCs w:val="28"/>
          <w:lang w:val="ru-RU"/>
        </w:rPr>
        <w:t xml:space="preserve">Доля нормативных правовых актов </w:t>
      </w:r>
      <w:r w:rsidRPr="000C58E4">
        <w:rPr>
          <w:szCs w:val="28"/>
          <w:lang w:val="ru-RU"/>
        </w:rPr>
        <w:t>Управления</w:t>
      </w:r>
      <w:r w:rsidR="00103BA1" w:rsidRPr="000C58E4">
        <w:rPr>
          <w:szCs w:val="28"/>
          <w:lang w:val="ru-RU"/>
        </w:rPr>
        <w:t>, в которых выявлены риски нарушения антимонопольного законодательства, рассчитывается по формуле:</w:t>
      </w:r>
    </w:p>
    <w:p w:rsidR="00103BA1" w:rsidRPr="000C58E4" w:rsidRDefault="000C58E4" w:rsidP="00103BA1">
      <w:pPr>
        <w:spacing w:after="0" w:line="240" w:lineRule="auto"/>
        <w:ind w:firstLine="709"/>
        <w:rPr>
          <w:szCs w:val="28"/>
          <w:lang w:val="ru-RU"/>
        </w:rPr>
      </w:pPr>
      <m:oMath>
        <m:r>
          <w:rPr>
            <w:rFonts w:ascii="Cambria Math" w:hAnsi="Cambria Math"/>
            <w:szCs w:val="28"/>
          </w:rPr>
          <m:t>Днпа=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Кнпа</m:t>
            </m:r>
          </m:num>
          <m:den>
            <m:r>
              <w:rPr>
                <w:rFonts w:ascii="Cambria Math" w:hAnsi="Cambria Math"/>
                <w:szCs w:val="28"/>
              </w:rPr>
              <m:t>КНоп</m:t>
            </m:r>
          </m:den>
        </m:f>
      </m:oMath>
      <w:r w:rsidR="00103BA1" w:rsidRPr="000C58E4">
        <w:rPr>
          <w:i/>
          <w:szCs w:val="28"/>
          <w:lang w:val="ru-RU"/>
        </w:rPr>
        <w:t xml:space="preserve">, </w:t>
      </w:r>
      <w:r w:rsidR="00103BA1" w:rsidRPr="000C58E4">
        <w:rPr>
          <w:szCs w:val="28"/>
          <w:lang w:val="ru-RU"/>
        </w:rPr>
        <w:t>где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proofErr w:type="spellStart"/>
      <w:r w:rsidRPr="000C58E4">
        <w:rPr>
          <w:szCs w:val="28"/>
          <w:lang w:val="ru-RU"/>
        </w:rPr>
        <w:t>Днпа</w:t>
      </w:r>
      <w:proofErr w:type="spellEnd"/>
      <w:r w:rsidRPr="000C58E4">
        <w:rPr>
          <w:szCs w:val="28"/>
          <w:lang w:val="ru-RU"/>
        </w:rPr>
        <w:t xml:space="preserve"> – доля нормативных правовых актов </w:t>
      </w:r>
      <w:r w:rsidR="00EA62C7" w:rsidRPr="000C58E4">
        <w:rPr>
          <w:szCs w:val="28"/>
          <w:lang w:val="ru-RU"/>
        </w:rPr>
        <w:t>Управления</w:t>
      </w:r>
      <w:r w:rsidRPr="000C58E4">
        <w:rPr>
          <w:szCs w:val="28"/>
          <w:lang w:val="ru-RU"/>
        </w:rPr>
        <w:t>, в которых выявлены риски нарушения антимонопольного законодательства;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proofErr w:type="spellStart"/>
      <w:r w:rsidRPr="000C58E4">
        <w:rPr>
          <w:szCs w:val="28"/>
          <w:lang w:val="ru-RU"/>
        </w:rPr>
        <w:t>Кпнпа</w:t>
      </w:r>
      <w:proofErr w:type="spellEnd"/>
      <w:r w:rsidRPr="000C58E4">
        <w:rPr>
          <w:szCs w:val="28"/>
          <w:lang w:val="ru-RU"/>
        </w:rPr>
        <w:t xml:space="preserve"> – количество нормативных правовых актов </w:t>
      </w:r>
      <w:r w:rsidR="00EA62C7" w:rsidRPr="000C58E4">
        <w:rPr>
          <w:szCs w:val="28"/>
          <w:lang w:val="ru-RU"/>
        </w:rPr>
        <w:t>Управления</w:t>
      </w:r>
      <w:r w:rsidRPr="000C58E4">
        <w:rPr>
          <w:szCs w:val="28"/>
          <w:lang w:val="ru-RU"/>
        </w:rPr>
        <w:t xml:space="preserve">, в которых </w:t>
      </w:r>
      <w:r w:rsidR="00EA62C7" w:rsidRPr="000C58E4">
        <w:rPr>
          <w:szCs w:val="28"/>
          <w:lang w:val="ru-RU"/>
        </w:rPr>
        <w:t>Управлением</w:t>
      </w:r>
      <w:r w:rsidRPr="000C58E4">
        <w:rPr>
          <w:szCs w:val="28"/>
          <w:lang w:val="ru-RU"/>
        </w:rPr>
        <w:t xml:space="preserve"> выявлены риски нарушения антимонопольного законодательства (в отчетном периоде);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proofErr w:type="spellStart"/>
      <w:r w:rsidRPr="000C58E4">
        <w:rPr>
          <w:szCs w:val="28"/>
          <w:lang w:val="ru-RU"/>
        </w:rPr>
        <w:t>КНоп</w:t>
      </w:r>
      <w:proofErr w:type="spellEnd"/>
      <w:r w:rsidRPr="000C58E4">
        <w:rPr>
          <w:szCs w:val="28"/>
          <w:lang w:val="ru-RU"/>
        </w:rPr>
        <w:t xml:space="preserve"> – количество нормативных правовых актов </w:t>
      </w:r>
      <w:r w:rsidR="00EA62C7" w:rsidRPr="000C58E4">
        <w:rPr>
          <w:szCs w:val="28"/>
          <w:lang w:val="ru-RU"/>
        </w:rPr>
        <w:t>Управления</w:t>
      </w:r>
      <w:r w:rsidRPr="000C58E4">
        <w:rPr>
          <w:szCs w:val="28"/>
          <w:lang w:val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103BA1" w:rsidRPr="000C58E4" w:rsidRDefault="00EA62C7" w:rsidP="00103BA1">
      <w:pPr>
        <w:spacing w:after="0" w:line="240" w:lineRule="auto"/>
        <w:ind w:firstLine="709"/>
        <w:rPr>
          <w:szCs w:val="28"/>
          <w:lang w:val="ru-RU"/>
        </w:rPr>
      </w:pPr>
      <w:r w:rsidRPr="000C58E4">
        <w:rPr>
          <w:szCs w:val="28"/>
          <w:lang w:val="ru-RU"/>
        </w:rPr>
        <w:t xml:space="preserve">4. </w:t>
      </w:r>
      <w:r w:rsidR="00103BA1" w:rsidRPr="000C58E4">
        <w:rPr>
          <w:szCs w:val="28"/>
          <w:lang w:val="ru-RU"/>
        </w:rPr>
        <w:t xml:space="preserve">Доля сотрудников </w:t>
      </w:r>
      <w:r w:rsidRPr="000C58E4">
        <w:rPr>
          <w:szCs w:val="28"/>
          <w:lang w:val="ru-RU"/>
        </w:rPr>
        <w:t>Управления</w:t>
      </w:r>
      <w:r w:rsidR="00103BA1" w:rsidRPr="000C58E4">
        <w:rPr>
          <w:szCs w:val="28"/>
          <w:lang w:val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103BA1" w:rsidRPr="000C58E4">
        <w:rPr>
          <w:szCs w:val="28"/>
          <w:lang w:val="ru-RU"/>
        </w:rPr>
        <w:t>комплаенсу</w:t>
      </w:r>
      <w:proofErr w:type="spellEnd"/>
      <w:r w:rsidR="00103BA1" w:rsidRPr="000C58E4">
        <w:rPr>
          <w:szCs w:val="28"/>
          <w:lang w:val="ru-RU"/>
        </w:rPr>
        <w:t>, рассчитывается по формуле:</w:t>
      </w:r>
    </w:p>
    <w:p w:rsidR="00103BA1" w:rsidRPr="000C58E4" w:rsidRDefault="000C58E4" w:rsidP="00103BA1">
      <w:pPr>
        <w:spacing w:after="0" w:line="240" w:lineRule="auto"/>
        <w:ind w:firstLine="709"/>
        <w:rPr>
          <w:szCs w:val="28"/>
          <w:lang w:val="ru-RU"/>
        </w:rPr>
      </w:pPr>
      <m:oMath>
        <m:r>
          <w:rPr>
            <w:rFonts w:ascii="Cambria Math" w:hAnsi="Cambria Math"/>
            <w:szCs w:val="28"/>
          </w:rPr>
          <m:t>ДСо=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КСо</m:t>
            </m:r>
          </m:num>
          <m:den>
            <m:r>
              <w:rPr>
                <w:rFonts w:ascii="Cambria Math" w:hAnsi="Cambria Math"/>
                <w:szCs w:val="28"/>
              </w:rPr>
              <m:t>КСобщ</m:t>
            </m:r>
          </m:den>
        </m:f>
      </m:oMath>
      <w:r w:rsidR="00103BA1" w:rsidRPr="000C58E4">
        <w:rPr>
          <w:i/>
          <w:szCs w:val="28"/>
          <w:lang w:val="ru-RU"/>
        </w:rPr>
        <w:t xml:space="preserve">, </w:t>
      </w:r>
      <w:r w:rsidR="00103BA1" w:rsidRPr="000C58E4">
        <w:rPr>
          <w:szCs w:val="28"/>
          <w:lang w:val="ru-RU"/>
        </w:rPr>
        <w:t>где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proofErr w:type="spellStart"/>
      <w:r w:rsidRPr="000C58E4">
        <w:rPr>
          <w:szCs w:val="28"/>
          <w:lang w:val="ru-RU"/>
        </w:rPr>
        <w:t>ДСо</w:t>
      </w:r>
      <w:proofErr w:type="spellEnd"/>
      <w:r w:rsidRPr="000C58E4">
        <w:rPr>
          <w:szCs w:val="28"/>
          <w:lang w:val="ru-RU"/>
        </w:rPr>
        <w:t xml:space="preserve"> – доля сотрудников </w:t>
      </w:r>
      <w:r w:rsidR="00EA62C7" w:rsidRPr="000C58E4">
        <w:rPr>
          <w:szCs w:val="28"/>
          <w:lang w:val="ru-RU"/>
        </w:rPr>
        <w:t>Управления</w:t>
      </w:r>
      <w:r w:rsidRPr="000C58E4">
        <w:rPr>
          <w:szCs w:val="28"/>
          <w:lang w:val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C58E4">
        <w:rPr>
          <w:szCs w:val="28"/>
          <w:lang w:val="ru-RU"/>
        </w:rPr>
        <w:t>комплаенсу</w:t>
      </w:r>
      <w:proofErr w:type="spellEnd"/>
      <w:r w:rsidRPr="000C58E4">
        <w:rPr>
          <w:szCs w:val="28"/>
          <w:lang w:val="ru-RU"/>
        </w:rPr>
        <w:t>;</w:t>
      </w:r>
    </w:p>
    <w:p w:rsidR="00103BA1" w:rsidRPr="000C58E4" w:rsidRDefault="00103BA1" w:rsidP="00103BA1">
      <w:pPr>
        <w:spacing w:after="0" w:line="240" w:lineRule="auto"/>
        <w:ind w:firstLine="709"/>
        <w:rPr>
          <w:szCs w:val="28"/>
          <w:lang w:val="ru-RU"/>
        </w:rPr>
      </w:pPr>
      <w:proofErr w:type="spellStart"/>
      <w:r w:rsidRPr="000C58E4">
        <w:rPr>
          <w:szCs w:val="28"/>
          <w:lang w:val="ru-RU"/>
        </w:rPr>
        <w:t>КСо</w:t>
      </w:r>
      <w:proofErr w:type="spellEnd"/>
      <w:r w:rsidRPr="000C58E4">
        <w:rPr>
          <w:szCs w:val="28"/>
          <w:lang w:val="ru-RU"/>
        </w:rPr>
        <w:t xml:space="preserve"> – количество сотрудников </w:t>
      </w:r>
      <w:r w:rsidR="00EA62C7" w:rsidRPr="000C58E4">
        <w:rPr>
          <w:szCs w:val="28"/>
          <w:lang w:val="ru-RU"/>
        </w:rPr>
        <w:t>Управления</w:t>
      </w:r>
      <w:r w:rsidRPr="000C58E4">
        <w:rPr>
          <w:szCs w:val="28"/>
          <w:lang w:val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C58E4">
        <w:rPr>
          <w:szCs w:val="28"/>
          <w:lang w:val="ru-RU"/>
        </w:rPr>
        <w:t>комплаенсу</w:t>
      </w:r>
      <w:proofErr w:type="spellEnd"/>
      <w:r w:rsidRPr="000C58E4">
        <w:rPr>
          <w:szCs w:val="28"/>
          <w:lang w:val="ru-RU"/>
        </w:rPr>
        <w:t>;</w:t>
      </w:r>
    </w:p>
    <w:p w:rsidR="00D8203E" w:rsidRPr="000C58E4" w:rsidRDefault="00103BA1" w:rsidP="00EA62C7">
      <w:pPr>
        <w:spacing w:after="165" w:line="216" w:lineRule="auto"/>
        <w:ind w:right="33" w:firstLine="709"/>
        <w:rPr>
          <w:szCs w:val="28"/>
          <w:lang w:val="ru-RU"/>
        </w:rPr>
      </w:pPr>
      <w:proofErr w:type="spellStart"/>
      <w:r w:rsidRPr="000C58E4">
        <w:rPr>
          <w:szCs w:val="28"/>
          <w:lang w:val="ru-RU"/>
        </w:rPr>
        <w:t>КСобщ</w:t>
      </w:r>
      <w:proofErr w:type="spellEnd"/>
      <w:r w:rsidRPr="000C58E4">
        <w:rPr>
          <w:szCs w:val="28"/>
          <w:lang w:val="ru-RU"/>
        </w:rPr>
        <w:t xml:space="preserve"> – общее количество сотрудников </w:t>
      </w:r>
      <w:r w:rsidR="00EA62C7" w:rsidRPr="000C58E4">
        <w:rPr>
          <w:szCs w:val="28"/>
          <w:lang w:val="ru-RU"/>
        </w:rPr>
        <w:t>Управления</w:t>
      </w:r>
      <w:r w:rsidRPr="000C58E4">
        <w:rPr>
          <w:szCs w:val="28"/>
          <w:lang w:val="ru-RU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EA62C7" w:rsidRPr="000C58E4" w:rsidRDefault="00D8203E" w:rsidP="00D8203E">
      <w:pPr>
        <w:spacing w:after="165" w:line="216" w:lineRule="auto"/>
        <w:ind w:right="33" w:firstLine="709"/>
        <w:rPr>
          <w:szCs w:val="28"/>
          <w:lang w:val="ru-RU"/>
        </w:rPr>
      </w:pPr>
      <w:r w:rsidRPr="000C58E4">
        <w:rPr>
          <w:szCs w:val="28"/>
          <w:lang w:val="ru-RU"/>
        </w:rPr>
        <w:t xml:space="preserve">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C58E4">
        <w:rPr>
          <w:szCs w:val="28"/>
          <w:lang w:val="ru-RU"/>
        </w:rPr>
        <w:t>комплаенсу</w:t>
      </w:r>
      <w:proofErr w:type="spellEnd"/>
      <w:r w:rsidRPr="000C58E4">
        <w:rPr>
          <w:szCs w:val="28"/>
          <w:lang w:val="ru-RU"/>
        </w:rPr>
        <w:t xml:space="preserve"> (числитель), обеспечивает высокое значение ключевого показателя эффективности</w:t>
      </w:r>
    </w:p>
    <w:sectPr w:rsidR="00EA62C7" w:rsidRPr="000C58E4" w:rsidSect="00EA62C7">
      <w:pgSz w:w="11900" w:h="16833"/>
      <w:pgMar w:top="1104" w:right="887" w:bottom="1276" w:left="11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2460" o:spid="_x0000_i1025" style="width:6.75pt;height:3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>
    <w:nsid w:val="06D30E07"/>
    <w:multiLevelType w:val="hybridMultilevel"/>
    <w:tmpl w:val="BD889738"/>
    <w:lvl w:ilvl="0" w:tplc="B95688EA">
      <w:start w:val="1"/>
      <w:numFmt w:val="bullet"/>
      <w:lvlText w:val="•"/>
      <w:lvlPicBulletId w:val="0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A5518">
      <w:start w:val="1"/>
      <w:numFmt w:val="bullet"/>
      <w:lvlText w:val="o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2ADBFE">
      <w:start w:val="1"/>
      <w:numFmt w:val="bullet"/>
      <w:lvlText w:val="▪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90B1C2">
      <w:start w:val="1"/>
      <w:numFmt w:val="bullet"/>
      <w:lvlText w:val="•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688BCE">
      <w:start w:val="1"/>
      <w:numFmt w:val="bullet"/>
      <w:lvlText w:val="o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686476">
      <w:start w:val="1"/>
      <w:numFmt w:val="bullet"/>
      <w:lvlText w:val="▪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6B8DC">
      <w:start w:val="1"/>
      <w:numFmt w:val="bullet"/>
      <w:lvlText w:val="•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E99B2">
      <w:start w:val="1"/>
      <w:numFmt w:val="bullet"/>
      <w:lvlText w:val="o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84E198">
      <w:start w:val="1"/>
      <w:numFmt w:val="bullet"/>
      <w:lvlText w:val="▪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525241"/>
    <w:multiLevelType w:val="hybridMultilevel"/>
    <w:tmpl w:val="7EBEADA8"/>
    <w:lvl w:ilvl="0" w:tplc="928EB6FC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EE317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E145E6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78682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40C00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FAEB1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983C3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20C00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2C5EE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08322F"/>
    <w:multiLevelType w:val="hybridMultilevel"/>
    <w:tmpl w:val="D2F496F2"/>
    <w:lvl w:ilvl="0" w:tplc="4F083960">
      <w:start w:val="1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9A646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BA90A6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E2EF40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88E91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8EB87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741BDE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38CAA8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C24576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E9"/>
    <w:rsid w:val="00092C80"/>
    <w:rsid w:val="000C58E4"/>
    <w:rsid w:val="00103BA1"/>
    <w:rsid w:val="00161997"/>
    <w:rsid w:val="00467A41"/>
    <w:rsid w:val="0067004A"/>
    <w:rsid w:val="007A18E9"/>
    <w:rsid w:val="007F184C"/>
    <w:rsid w:val="00B30DC5"/>
    <w:rsid w:val="00D8203E"/>
    <w:rsid w:val="00E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62008-3222-4490-A4F9-9D648573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right="307" w:firstLine="70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619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30DC5"/>
    <w:pPr>
      <w:spacing w:before="100" w:beforeAutospacing="1" w:after="100" w:afterAutospacing="1" w:line="240" w:lineRule="auto"/>
      <w:ind w:right="0" w:firstLine="0"/>
      <w:jc w:val="left"/>
      <w:outlineLvl w:val="3"/>
    </w:pPr>
    <w:rPr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link w:val="4"/>
    <w:uiPriority w:val="9"/>
    <w:rsid w:val="00B30DC5"/>
    <w:rPr>
      <w:rFonts w:ascii="Times New Roman" w:hAnsi="Times New Roman"/>
      <w:b/>
      <w:bCs/>
      <w:sz w:val="24"/>
      <w:szCs w:val="24"/>
    </w:rPr>
  </w:style>
  <w:style w:type="character" w:styleId="a3">
    <w:name w:val="Strong"/>
    <w:uiPriority w:val="22"/>
    <w:qFormat/>
    <w:rsid w:val="00B30DC5"/>
    <w:rPr>
      <w:b/>
      <w:bCs/>
    </w:rPr>
  </w:style>
  <w:style w:type="paragraph" w:styleId="a4">
    <w:name w:val="Normal (Web)"/>
    <w:basedOn w:val="a"/>
    <w:uiPriority w:val="99"/>
    <w:semiHidden/>
    <w:unhideWhenUsed/>
    <w:rsid w:val="00B30DC5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table" w:styleId="a5">
    <w:name w:val="Table Grid"/>
    <w:basedOn w:val="a1"/>
    <w:rsid w:val="00EA6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61997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a6">
    <w:name w:val="Цветовое выделение"/>
    <w:uiPriority w:val="99"/>
    <w:rsid w:val="00092C80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092C80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4"/>
      <w:szCs w:val="24"/>
      <w:lang w:val="ru-RU" w:eastAsia="ru-RU"/>
    </w:rPr>
  </w:style>
  <w:style w:type="paragraph" w:customStyle="1" w:styleId="ConsPlusNormal">
    <w:name w:val="ConsPlusNormal"/>
    <w:rsid w:val="00092C8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M.Malsag</cp:lastModifiedBy>
  <cp:revision>2</cp:revision>
  <dcterms:created xsi:type="dcterms:W3CDTF">2023-02-17T07:14:00Z</dcterms:created>
  <dcterms:modified xsi:type="dcterms:W3CDTF">2023-02-17T07:14:00Z</dcterms:modified>
</cp:coreProperties>
</file>